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670</w:t>
      </w:r>
      <w:r>
        <w:rPr>
          <w:rFonts w:ascii="Times New Roman" w:eastAsia="Times New Roman" w:hAnsi="Times New Roman" w:cs="Times New Roman"/>
          <w:sz w:val="22"/>
          <w:szCs w:val="22"/>
        </w:rPr>
        <w:t>-260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keepNext/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 апреля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при секретаре судебного заседания </w:t>
      </w:r>
      <w:r>
        <w:rPr>
          <w:rFonts w:ascii="Times New Roman" w:eastAsia="Times New Roman" w:hAnsi="Times New Roman" w:cs="Times New Roman"/>
        </w:rPr>
        <w:t xml:space="preserve">Мартазановой А.А.,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</w:rPr>
        <w:t xml:space="preserve">АО «ГСК «Югория» (ИНН </w:t>
      </w:r>
      <w:r>
        <w:rPr>
          <w:rStyle w:val="cat-UserDefinedgrp-11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Твердохлебу Александру Николаевичу (паспорт </w:t>
      </w:r>
      <w:r>
        <w:rPr>
          <w:rStyle w:val="cat-UserDefinedgrp-1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о взыскании ущерба в порядке регресса, </w:t>
      </w:r>
      <w:r>
        <w:rPr>
          <w:rFonts w:ascii="Times New Roman" w:eastAsia="Times New Roman" w:hAnsi="Times New Roman" w:cs="Times New Roman"/>
        </w:rPr>
        <w:t>возмещении расходов по уплате государственной пошлины,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</w:rPr>
        <w:t xml:space="preserve">АО «ГСК «Югория»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Твердохлебу Александру Николаевичу о взыскании ущерба в порядке регресса, возмещении расходов по уплате государственной пошлины</w:t>
      </w:r>
      <w:r>
        <w:rPr>
          <w:rFonts w:ascii="Times New Roman" w:eastAsia="Times New Roman" w:hAnsi="Times New Roman" w:cs="Times New Roman"/>
        </w:rPr>
        <w:t xml:space="preserve"> – отказать.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3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2025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2-670-2603/2025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____________________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5">
    <w:name w:val="cat-UserDefined grp-11 rplc-5"/>
    <w:basedOn w:val="DefaultParagraphFont"/>
  </w:style>
  <w:style w:type="character" w:customStyle="1" w:styleId="cat-UserDefinedgrp-12rplc-9">
    <w:name w:val="cat-UserDefined grp-1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